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PROGRAMMAZIONE DI </w:t>
      </w:r>
    </w:p>
    <w:p>
      <w:pPr>
        <w:pStyle w:val="Normal.0"/>
        <w:spacing w:after="0"/>
        <w:ind w:left="15" w:right="2" w:hanging="1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SCIENZE UMANE </w:t>
      </w:r>
    </w:p>
    <w:tbl>
      <w:tblPr>
        <w:tblW w:w="512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27"/>
      </w:tblGrid>
      <w:tr>
        <w:tblPrEx>
          <w:shd w:val="clear" w:color="auto" w:fill="cdd4e9"/>
        </w:tblPrEx>
        <w:trPr>
          <w:trHeight w:val="2260" w:hRule="atLeast"/>
        </w:trPr>
        <w:tc>
          <w:tcPr>
            <w:tcW w:type="dxa" w:w="5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  <w:ind w:left="2626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254"/>
        <w:ind w:left="53" w:firstLine="0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162"/>
        <w:ind w:left="15" w:hanging="1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OBIETTIVI MINIMI </w:t>
      </w:r>
    </w:p>
    <w:p>
      <w:pPr>
        <w:pStyle w:val="Normal.0"/>
        <w:spacing w:after="0"/>
        <w:ind w:left="711" w:hanging="1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DISCIPLINA: SCIENZE UMANE </w:t>
      </w:r>
    </w:p>
    <w:tbl>
      <w:tblPr>
        <w:tblW w:w="143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7"/>
        <w:gridCol w:w="5671"/>
        <w:gridCol w:w="5383"/>
      </w:tblGrid>
      <w:tr>
        <w:tblPrEx>
          <w:shd w:val="clear" w:color="auto" w:fill="cdd4e9"/>
        </w:tblPrEx>
        <w:trPr>
          <w:trHeight w:val="194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6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983" w:firstLine="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TERZE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NUCLEI DISCIPLINARI (CONOSCENZE)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ABILITA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’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COMPETENZE 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Tutti gli argomenti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Riconoscere il lessico specifico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rPr/>
            </w:pPr>
            <w:r>
              <w:rPr>
                <w:rtl w:val="0"/>
                <w:lang w:val="it-IT"/>
              </w:rPr>
              <w:t xml:space="preserve">Utilizzare spontaneamente il lessico specifico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933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 xml:space="preserve">I principali metodi delle scienze umane e sociali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Distinguere i principali metodi della ricerca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ambito delle scienze umane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2"/>
            </w:tcMar>
            <w:vAlign w:val="top"/>
          </w:tcPr>
          <w:p>
            <w:pPr>
              <w:pStyle w:val="Normal.0"/>
              <w:spacing w:after="0" w:line="240" w:lineRule="auto"/>
              <w:ind w:left="2" w:right="2" w:firstLine="0"/>
            </w:pPr>
            <w:r>
              <w:rPr>
                <w:rtl w:val="0"/>
                <w:lang w:val="it-IT"/>
              </w:rPr>
              <w:t>Riconoscere e confrontare limiti e peculiarit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dei principali metodi delle scienze umane </w:t>
            </w:r>
          </w:p>
        </w:tc>
      </w:tr>
      <w:tr>
        <w:tblPrEx>
          <w:shd w:val="clear" w:color="auto" w:fill="cdd4e9"/>
        </w:tblPrEx>
        <w:trPr>
          <w:trHeight w:val="505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PSICOLOGIA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Lo sviluppo affettivo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I metodi di indagine della psicologia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Psicologia del ciclo di vita</w: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Normal.0"/>
              <w:spacing w:after="0" w:line="240" w:lineRule="auto"/>
              <w:ind w:right="51"/>
              <w:jc w:val="both"/>
              <w:rPr>
                <w:lang w:val="it-IT"/>
              </w:rPr>
            </w:pPr>
            <w:r>
              <w:rPr>
                <w:rtl w:val="0"/>
                <w:lang w:val="it-IT"/>
              </w:rPr>
              <w:t>Illustrare i principali modelli interpretativi proposti dalla psicologia dello sviluppo affettivo (Freud e Bowlby)</w:t>
            </w:r>
          </w:p>
          <w:p>
            <w:pPr>
              <w:pStyle w:val="Normal.0"/>
              <w:spacing w:after="0" w:line="240" w:lineRule="auto"/>
              <w:ind w:right="51"/>
              <w:jc w:val="both"/>
            </w:pPr>
            <w:r>
              <w:rPr>
                <w:rtl w:val="0"/>
                <w:lang w:val="it-IT"/>
              </w:rPr>
              <w:t>I metodi di indagine(test, intervista, questionario, inchiesta, colloquio)</w: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28"/>
            </w:tcMar>
            <w:vAlign w:val="top"/>
          </w:tcPr>
          <w:p>
            <w:pPr>
              <w:pStyle w:val="Normal.0"/>
              <w:spacing w:after="0" w:line="239" w:lineRule="auto"/>
              <w:ind w:left="2" w:right="48" w:firstLine="0"/>
              <w:jc w:val="both"/>
              <w:rPr/>
            </w:pPr>
            <w:r>
              <w:rPr>
                <w:rtl w:val="0"/>
                <w:lang w:val="it-IT"/>
              </w:rPr>
              <w:t>Riconoscere e confrontare gli assunti fondamentali dei principali modelli dello svil</w:t>
            </w:r>
            <w:r>
              <w:rPr>
                <w:rtl w:val="0"/>
                <w:lang w:val="it-IT"/>
              </w:rPr>
              <w:t>uppo</w:t>
            </w:r>
            <w:r>
              <w:rPr>
                <w:rtl w:val="0"/>
                <w:lang w:val="it-IT"/>
              </w:rPr>
              <w:t xml:space="preserve"> affettivo (Freud e Bowlby) </w:t>
            </w:r>
          </w:p>
          <w:p>
            <w:pPr>
              <w:pStyle w:val="Normal.0"/>
              <w:bidi w:val="0"/>
              <w:spacing w:after="0" w:line="240" w:lineRule="auto"/>
              <w:ind w:left="2" w:right="5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Utilizzare le categorie concettuali apprese per interpretare la realt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(esperienza personale, esperienza di alternanza scuola-lavoro) </w:t>
            </w:r>
          </w:p>
        </w:tc>
      </w:tr>
      <w:tr>
        <w:tblPrEx>
          <w:shd w:val="clear" w:color="auto" w:fill="cdd4e9"/>
        </w:tblPrEx>
        <w:trPr>
          <w:trHeight w:val="505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PEDAGOGIA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pedagogia tra Medioevo 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Rinascimento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La scolastica e la pedagogia umanistico-rinascimentale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pedagogia tra Riforma 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Controriforma 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Individuare le novit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introdotte in campo educativo dal Medioevo alla Controriforma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" w:line="237" w:lineRule="auto"/>
              <w:ind w:left="2" w:firstLine="0"/>
              <w:jc w:val="both"/>
              <w:rPr/>
            </w:pPr>
            <w:r>
              <w:rPr>
                <w:rtl w:val="0"/>
                <w:lang w:val="it-IT"/>
              </w:rPr>
              <w:t>Riconoscere nella realt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attuale il contributo dei modelli pedagogici del passato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77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it-IT"/>
              </w:rPr>
            </w:pPr>
            <w:r>
              <w:rPr>
                <w:rtl w:val="0"/>
                <w:lang w:val="it-IT"/>
              </w:rPr>
              <w:t>ANTROPOLOGIA CULTURALE I caratteri generali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antropologia culturale Antropologia - I primi sviluppi teorici</w:t>
            </w:r>
            <w:r>
              <w:rPr>
                <w:rtl w:val="0"/>
                <w:lang w:val="it-IT"/>
              </w:rPr>
              <w:t>(Evoluzionismo,lo Strutturalismo)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osservazione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Comprendere il concetto antropologico di cultura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Cogliere le specificit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culturali delle cosiddette </w:t>
            </w:r>
            <w:r>
              <w:rPr>
                <w:rtl w:val="0"/>
                <w:lang w:val="it-IT"/>
              </w:rPr>
              <w:t>“</w:t>
            </w:r>
            <w:r>
              <w:rPr>
                <w:rtl w:val="0"/>
                <w:lang w:val="it-IT"/>
              </w:rPr>
              <w:t>societ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primitive</w:t>
            </w:r>
            <w:r>
              <w:rPr>
                <w:rtl w:val="0"/>
                <w:lang w:val="it-IT"/>
              </w:rPr>
              <w:t xml:space="preserve">”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Confrontare pratiche materiali e sociali di culture diverse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ind w:left="2" w:firstLine="0"/>
              <w:jc w:val="both"/>
              <w:rPr/>
            </w:pPr>
            <w:r>
              <w:rPr>
                <w:rtl w:val="0"/>
                <w:lang w:val="it-IT"/>
              </w:rPr>
              <w:t>Comprendere le specificit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culturali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adattamento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ambiente di popoli diversi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Riconoscere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evoluzione storico-sociale dei processi culturali </w:t>
            </w:r>
          </w:p>
        </w:tc>
      </w:tr>
      <w:tr>
        <w:tblPrEx>
          <w:shd w:val="clear" w:color="auto" w:fill="cdd4e9"/>
        </w:tblPrEx>
        <w:trPr>
          <w:trHeight w:val="4090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SOCIOLOGIA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- La nascita della sociologia: contesto storico e culturale, principali metodi e tematiche</w:t>
            </w:r>
            <w:r>
              <w:rPr>
                <w:rtl w:val="0"/>
                <w:lang w:val="it-IT"/>
              </w:rPr>
              <w:t>(Comte, Durkheim, Parsons, Merton)</w:t>
            </w:r>
          </w:p>
        </w:tc>
        <w:tc>
          <w:tcPr>
            <w:tcW w:type="dxa" w:w="5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Descrivere le caratteristiche essenziali della sociologia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Riconoscere e distinguere gli assunti fondamentali dei classici della sociologia (Comte, Marx, Durkheim, Weber)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ind w:left="2" w:firstLine="0"/>
              <w:jc w:val="both"/>
              <w:rPr/>
            </w:pPr>
            <w:r>
              <w:rPr>
                <w:rtl w:val="0"/>
                <w:lang w:val="it-IT"/>
              </w:rPr>
              <w:t>Cogliere la dimensione sociale di ogni aspetto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esperienza umana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Utilizzare concetti e teorie appresi per riflettere e argomentare sulla societ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attuale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ind w:left="2626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/>
        <w:ind w:left="2626" w:firstLine="0"/>
        <w:jc w:val="both"/>
      </w:pPr>
      <w:r>
        <w:rPr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2210" w:right="5938" w:bottom="1557" w:left="5652" w:header="708" w:footer="7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>
      <w:rPr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6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.0"/>
      <w:spacing w:after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1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1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62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34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7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50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1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1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62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34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7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50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649" w:hanging="64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178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80" w:hanging="30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618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338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43" w:hanging="2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778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498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06" w:hanging="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