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 ITIS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ed automazione</w:t>
            </w:r>
          </w:p>
        </w:tc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RUDIMENTI, COMPONENTI PRINCIP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CIRCUITI ELETTROPNEUMAT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CI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SENSORI E LORO APPLICAZIONI</w:t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TRASDUTTORI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ARCHITETTURA E GENERALITA’ DI UN CONTROLLORE LOGICO PROGRAMMABILE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LINGUAGGI DI PROGRAMMAZIONE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Funzionamento e scopo dell’elettropneumatica.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circuiti base nella tecnica elettropneumatica.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di funzionamento dei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sensor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E' in grado di leggere schemi  relativi ad impianti con trasduttori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E' in grado di leggere e riconoscere schemi e listati relativi ad impianti di automazione con PLC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 i linguaggi codificati per la programmazione del PLC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il funzionamenti di semplici schemi.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 e realizzare circuiti elettropneumatici di base.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alcune tecniche della normativa sulla sicurezza personale.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sensori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sensore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trasduttori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definire le parti principali della struttura del PLC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distinguere tra dispositivi di input ed output.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E' in grado di redigere relazioni sul funzionamento e sulla installazione di impianti di automazione con PLC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Generalità dell’elettropneumatica.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Elettrovalvole.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Finecorsa elettrici.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elettropneumatici.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cilindro: pulsante unico, pulsante doppio.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Logica di comando.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di prossimità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magnetic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fotoelettrici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Parametri principali dei trasduttori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Generalità sui PLC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linguaggio ladder.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Comandi ISO di programmazione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Manuale e norme tecniche.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left="31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A8">
            <w:pPr>
              <w:spacing w:after="0" w:line="276" w:lineRule="auto"/>
              <w:ind w:left="-6" w:right="39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after="0" w:line="276" w:lineRule="auto"/>
              <w:ind w:left="34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AC">
            <w:pPr>
              <w:spacing w:after="0" w:line="276" w:lineRule="auto"/>
              <w:ind w:left="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(esposizione orale  con supporto informatico in modalità DAD)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AF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alla griglie approvate in sede dipartimentale e già allegate al PTOF.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realizzare, durante il percorso PCTO, un compito autentico.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F3046"/>
    <w:pPr>
      <w:spacing w:after="160" w:line="259" w:lineRule="auto"/>
    </w:pPr>
    <w:rPr>
      <w:rFonts w:ascii="Calibri" w:cs="Times New Roman" w:eastAsia="Calibri" w:hAnsi="Calibri"/>
      <w:sz w:val="22"/>
      <w:szCs w:val="22"/>
      <w:lang w:eastAsia="en-US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F304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W8l2gP1FdzfMI1qoJjcCSEmQ==">AMUW2mUrhrwW+uF5UDTCpZ/Cvry4ExQMXiOObhwSlQsWiFkLjaV4/eVNhfROqgXqfzUpID8mYN33S6vgqfS8JB7E2PncwogbFPoSfpfsKAAuq6aZk/sHTquhiCXP1kXYqafGFW1XBK5J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2020-09-06T12:28:00Z</dcterms:created>
  <dc:creator>Rosa Tartaglia</dc:creator>
</cp:coreProperties>
</file>