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EFDE" w14:textId="77777777" w:rsidR="00815E37" w:rsidRDefault="0018206F">
      <w:pPr>
        <w:spacing w:line="240" w:lineRule="auto"/>
        <w:rPr>
          <w:rFonts w:ascii="Helvetica Neue" w:eastAsia="Helvetica Neue" w:hAnsi="Helvetica Neue" w:cs="Helvetica Neue"/>
          <w:color w:val="161616"/>
          <w:sz w:val="14"/>
          <w:szCs w:val="14"/>
        </w:rPr>
      </w:pPr>
      <w:r>
        <w:rPr>
          <w:rFonts w:ascii="Helvetica Neue" w:eastAsia="Helvetica Neue" w:hAnsi="Helvetica Neue" w:cs="Helvetica Neue"/>
          <w:color w:val="161616"/>
          <w:sz w:val="14"/>
          <w:szCs w:val="14"/>
        </w:rPr>
        <w:t xml:space="preserve"> </w:t>
      </w:r>
    </w:p>
    <w:tbl>
      <w:tblPr>
        <w:tblStyle w:val="a"/>
        <w:tblW w:w="10785" w:type="dxa"/>
        <w:jc w:val="center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4555"/>
        <w:gridCol w:w="845"/>
        <w:gridCol w:w="2692"/>
      </w:tblGrid>
      <w:tr w:rsidR="00815E37" w14:paraId="70E311A2" w14:textId="77777777">
        <w:trPr>
          <w:jc w:val="center"/>
        </w:trPr>
        <w:tc>
          <w:tcPr>
            <w:tcW w:w="107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40BEC4" w14:textId="77777777" w:rsidR="00815E37" w:rsidRDefault="002A6A1B">
            <w:pPr>
              <w:spacing w:line="240" w:lineRule="auto"/>
              <w:ind w:left="1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24"/>
                <w:szCs w:val="24"/>
              </w:rPr>
              <w:t>Informativa sul trattamento dei dati personali</w:t>
            </w:r>
          </w:p>
        </w:tc>
      </w:tr>
      <w:tr w:rsidR="00815E37" w14:paraId="757A0D13" w14:textId="77777777">
        <w:trPr>
          <w:jc w:val="center"/>
        </w:trPr>
        <w:tc>
          <w:tcPr>
            <w:tcW w:w="107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28776A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(Art. 13 Regolamento UE 27 Aprile 2016, n. 679 in materia di protezione dei dati personali “GDPR”)</w:t>
            </w:r>
          </w:p>
        </w:tc>
      </w:tr>
      <w:tr w:rsidR="00815E37" w14:paraId="525F6B0B" w14:textId="77777777">
        <w:trPr>
          <w:jc w:val="center"/>
        </w:trPr>
        <w:tc>
          <w:tcPr>
            <w:tcW w:w="107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547D7F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 conformità con i requisiti imposti dal Regolamento Generale in materia di protezione dei dati personali il Titolare del trattamento fornisce all’interessato le seguenti informazioni in relazione ai trattamenti di dati personali effettuati.</w:t>
            </w:r>
          </w:p>
        </w:tc>
      </w:tr>
      <w:tr w:rsidR="00815E37" w14:paraId="6C411944" w14:textId="77777777">
        <w:trPr>
          <w:jc w:val="center"/>
        </w:trPr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9A7324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Titolare del trattamento</w:t>
            </w:r>
          </w:p>
        </w:tc>
        <w:tc>
          <w:tcPr>
            <w:tcW w:w="80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40065F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COMUNE DI NUSCO</w:t>
            </w: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IT00294030648</w:t>
            </w:r>
          </w:p>
        </w:tc>
      </w:tr>
      <w:tr w:rsidR="00815E37" w14:paraId="16A29CA4" w14:textId="77777777">
        <w:trPr>
          <w:jc w:val="center"/>
        </w:trPr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732CBB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Contatti per l’esercizio dei diritti</w:t>
            </w:r>
          </w:p>
        </w:tc>
        <w:tc>
          <w:tcPr>
            <w:tcW w:w="80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87D27C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Le richieste di esercizio dei diritti previsti dal GDPR o eventuali revoche del consenso potranno essere rivolte al Titolare del trattamento ai seguenti contatti.</w:t>
            </w:r>
          </w:p>
        </w:tc>
      </w:tr>
      <w:tr w:rsidR="00815E37" w14:paraId="00794B6F" w14:textId="77777777">
        <w:trPr>
          <w:jc w:val="center"/>
        </w:trPr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5FFEE4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Indirizzo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C25D53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VIA SAN GIOVANNI 2 - 83051, Nusco (AV) - Italia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3831398" w14:textId="77777777" w:rsidR="00815E37" w:rsidRDefault="002A6A1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Contatti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936AEA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082764942, protocollo@comune.nusco.av.it, protocollo.nusco@asmepec.it</w:t>
            </w:r>
          </w:p>
        </w:tc>
      </w:tr>
      <w:tr w:rsidR="00815E37" w14:paraId="597D34DE" w14:textId="77777777">
        <w:trPr>
          <w:jc w:val="center"/>
        </w:trPr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4F8C2F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DPO</w:t>
            </w:r>
          </w:p>
        </w:tc>
        <w:tc>
          <w:tcPr>
            <w:tcW w:w="80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C1BD05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dpo@informaticanuscana.it - INFORMATICA NUSCANA DI GIANFRANCO BRUNO</w:t>
            </w:r>
          </w:p>
        </w:tc>
      </w:tr>
      <w:tr w:rsidR="00815E37" w14:paraId="63512392" w14:textId="77777777">
        <w:trPr>
          <w:jc w:val="center"/>
        </w:trPr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621080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Categorie degli interessati</w:t>
            </w:r>
          </w:p>
        </w:tc>
        <w:tc>
          <w:tcPr>
            <w:tcW w:w="809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333333"/>
              <w:right w:val="single" w:sz="8" w:space="0" w:color="FFFFFF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1FCEE6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Fornitori, ditte individuali, liberi professionisti, consulenti interni ed esterni, Aspiranti dipendenti</w:t>
            </w:r>
          </w:p>
        </w:tc>
      </w:tr>
    </w:tbl>
    <w:p w14:paraId="3ACE85F6" w14:textId="77777777" w:rsidR="00815E37" w:rsidRDefault="00815E37">
      <w:pPr>
        <w:spacing w:line="240" w:lineRule="auto"/>
        <w:rPr>
          <w:rFonts w:ascii="Helvetica Neue" w:eastAsia="Helvetica Neue" w:hAnsi="Helvetica Neue" w:cs="Helvetica Neue"/>
          <w:color w:val="161616"/>
          <w:sz w:val="14"/>
          <w:szCs w:val="14"/>
        </w:rPr>
      </w:pPr>
    </w:p>
    <w:tbl>
      <w:tblPr>
        <w:tblStyle w:val="a0"/>
        <w:tblW w:w="10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815E37" w14:paraId="3994EE3C" w14:textId="77777777">
        <w:trPr>
          <w:jc w:val="center"/>
        </w:trPr>
        <w:tc>
          <w:tcPr>
            <w:tcW w:w="10774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F5F3C1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20"/>
                <w:szCs w:val="20"/>
              </w:rPr>
              <w:t>Lista dei trattamenti</w:t>
            </w:r>
          </w:p>
        </w:tc>
      </w:tr>
    </w:tbl>
    <w:p w14:paraId="21843357" w14:textId="77777777" w:rsidR="00815E37" w:rsidRDefault="00815E37">
      <w:pPr>
        <w:spacing w:line="240" w:lineRule="auto"/>
        <w:rPr>
          <w:rFonts w:ascii="Helvetica Neue" w:eastAsia="Helvetica Neue" w:hAnsi="Helvetica Neue" w:cs="Helvetica Neue"/>
          <w:b/>
          <w:color w:val="161616"/>
          <w:sz w:val="14"/>
          <w:szCs w:val="14"/>
        </w:rPr>
      </w:pPr>
    </w:p>
    <w:tbl>
      <w:tblPr>
        <w:tblStyle w:val="a1"/>
        <w:tblW w:w="10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46"/>
        <w:gridCol w:w="2214"/>
        <w:gridCol w:w="4127"/>
        <w:gridCol w:w="3988"/>
      </w:tblGrid>
      <w:tr w:rsidR="00815E37" w14:paraId="3D18A93B" w14:textId="77777777">
        <w:trPr>
          <w:jc w:val="center"/>
        </w:trPr>
        <w:tc>
          <w:tcPr>
            <w:tcW w:w="10774" w:type="dxa"/>
            <w:gridSpan w:val="4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B24547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Bandi di gara, di Concorso ed Avvisi Pubblici</w:t>
            </w:r>
          </w:p>
        </w:tc>
      </w:tr>
      <w:tr w:rsidR="00815E37" w14:paraId="6FC4A0B6" w14:textId="77777777">
        <w:trPr>
          <w:jc w:val="center"/>
        </w:trPr>
        <w:tc>
          <w:tcPr>
            <w:tcW w:w="445" w:type="dxa"/>
            <w:vMerge w:val="restart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21209C" w14:textId="77777777" w:rsidR="00815E37" w:rsidRDefault="002A6A1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noProof/>
                <w:color w:val="161616"/>
                <w:sz w:val="14"/>
                <w:szCs w:val="14"/>
                <w:lang w:val="en-US"/>
              </w:rPr>
              <w:drawing>
                <wp:inline distT="114300" distB="114300" distL="114300" distR="114300" wp14:anchorId="78D3088E" wp14:editId="52FC1A6F">
                  <wp:extent cx="95250" cy="9525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Merge w:val="restart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ECFB41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Finalità che non necessitano del consenso</w:t>
            </w:r>
          </w:p>
        </w:tc>
        <w:tc>
          <w:tcPr>
            <w:tcW w:w="412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6FCCBE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Finalità</w:t>
            </w:r>
          </w:p>
        </w:tc>
        <w:tc>
          <w:tcPr>
            <w:tcW w:w="3988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0E9706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Base giuridica</w:t>
            </w:r>
          </w:p>
        </w:tc>
      </w:tr>
      <w:tr w:rsidR="00815E37" w14:paraId="5F91A1ED" w14:textId="77777777">
        <w:trPr>
          <w:jc w:val="center"/>
        </w:trPr>
        <w:tc>
          <w:tcPr>
            <w:tcW w:w="445" w:type="dxa"/>
            <w:vMerge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5656A8" w14:textId="77777777" w:rsidR="00815E37" w:rsidRDefault="00815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</w:p>
        </w:tc>
        <w:tc>
          <w:tcPr>
            <w:tcW w:w="2214" w:type="dxa"/>
            <w:vMerge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4764A4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</w:p>
        </w:tc>
        <w:tc>
          <w:tcPr>
            <w:tcW w:w="412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ECB9DA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Tali dati vengono trattati per lo svolgimento della procedura di selezione del contraente, in particolare in adempimento degli obblighi di legge. Il 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D.Lgs.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 18 aprile 2016, n. 50, prevede l’obbligo per la stazione appaltante di acquisire i dati inerenti la partecipazione alle procedure di gara e i conseguenti atti (ammissione, esclusione, aggiudicazione, stipulazione), per il perseguimento di finalità, quali, a titolo esemplificativo: per verificare la sussistenza dei requisiti necessari per la partecipazione alla gara e per l’aggiudicazione; l’acquisizione di informazioni preliminari alla conclusione di un contratto; per la corretta gestione della procedura di gara e per le finalità correlate alla scelta del contraente; predisposizione dell’eventuale documentazione fiscale e contabile; adempiere agli obblighi previsti dalla legge, dal bando di gara o equipollente, da regolamenti e dalla normativa comunitaria per lo svolgimento della procedura di gara; accertamento, esercizio o difesa di un diritto in sede giudiziaria (Esecuzione di un contratto e/o misure precontrattuali)</w:t>
            </w:r>
          </w:p>
        </w:tc>
        <w:tc>
          <w:tcPr>
            <w:tcW w:w="3988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A2A49B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Esecuzione di un contratto e/o misure precontrattuali, Obbligo di legge, Interesse pubblico, Il trattamento dei suoi dati personali viene effettuato dal Comune di Nusco per lo svolgimento di funzioni istituzionali e, pertanto, ai sensi dell’art. 6 comma 1 lett. e) non necessita del suo consenso. I dati personali sono in relazione al procedimento ed alle attività correlate.</w:t>
            </w:r>
          </w:p>
        </w:tc>
      </w:tr>
      <w:tr w:rsidR="00815E37" w14:paraId="4285CBD6" w14:textId="77777777">
        <w:trPr>
          <w:jc w:val="center"/>
        </w:trPr>
        <w:tc>
          <w:tcPr>
            <w:tcW w:w="445" w:type="dxa"/>
            <w:vMerge w:val="restart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FDF635" w14:textId="77777777" w:rsidR="00815E37" w:rsidRDefault="002A6A1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noProof/>
                <w:color w:val="161616"/>
                <w:sz w:val="14"/>
                <w:szCs w:val="14"/>
                <w:lang w:val="en-US"/>
              </w:rPr>
              <w:drawing>
                <wp:inline distT="114300" distB="114300" distL="114300" distR="114300" wp14:anchorId="2C8EEF10" wp14:editId="02761162">
                  <wp:extent cx="28575" cy="8572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Merge w:val="restart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DB4BC9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Tipologia di dati obbligatori</w:t>
            </w:r>
          </w:p>
        </w:tc>
        <w:tc>
          <w:tcPr>
            <w:tcW w:w="8115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F733A9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Albo Imprese Artigiane Codice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Ateco,Dati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 anagrafici (nome, cognome, via, 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cittaà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, telefono, email/PEC, fax, documento di riconoscimento, codice 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finscale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, ecc.); Dati rientranti in particolari categorie si tratta dei dati c.d. "sensibili", cioè quelli che rivelano l'origine razziale od etnica, le convinzioni religiose, filosofiche, le opinioni 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politiche,l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 'appartenenza sindacale, relativi alla salute o alla vita sessuale. Il Regolamento (UE) 2016/679 (articolo 9) ha incluso nella nozione anche i dati genetici, i dati biometrici e quelli relativi all'orientamento sessuale; Dati relativi a condanne penali e reati: si tratta dei dati c.d. "giudiziari",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Il Regolamento (UE) 2016/679 (articolo 10) ricomprende in tale nozione i dati relativi alle condanne penali e ai reati o a connesse misure di sicurezza; Altri dati personali: quelli relativi alle comunicazioni elettroniche (via Internet o telefono); Dati economici-finanziari, dati sul reddito, dati fiscali, curriculum vitae et 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studiorum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, dati carriera, certificazione antimafia, ogni altra documentazione utile ai fini della valutazione</w:t>
            </w:r>
          </w:p>
        </w:tc>
      </w:tr>
      <w:tr w:rsidR="00815E37" w14:paraId="286998EB" w14:textId="77777777">
        <w:trPr>
          <w:jc w:val="center"/>
        </w:trPr>
        <w:tc>
          <w:tcPr>
            <w:tcW w:w="445" w:type="dxa"/>
            <w:vMerge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1E9AABC" w14:textId="77777777" w:rsidR="00815E37" w:rsidRDefault="00815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</w:tc>
        <w:tc>
          <w:tcPr>
            <w:tcW w:w="2214" w:type="dxa"/>
            <w:vMerge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C47A78B" w14:textId="77777777" w:rsidR="00815E37" w:rsidRDefault="00815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</w:tc>
        <w:tc>
          <w:tcPr>
            <w:tcW w:w="8115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F350A6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Il conferimento dei dati è obbligatorio è richiesto dagli obblighi legali e contrattuali e pertanto </w:t>
            </w:r>
            <w:proofErr w:type="gram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 eventuale</w:t>
            </w:r>
            <w:proofErr w:type="gram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 rifiuto a fornirli in tutto o una parte può dar luogo all' impossibilità di fornire i servizi richiesti</w:t>
            </w:r>
          </w:p>
        </w:tc>
      </w:tr>
      <w:tr w:rsidR="00815E37" w14:paraId="335DB075" w14:textId="77777777">
        <w:trPr>
          <w:trHeight w:val="253"/>
          <w:jc w:val="center"/>
        </w:trPr>
        <w:tc>
          <w:tcPr>
            <w:tcW w:w="445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1C3414" w14:textId="77777777" w:rsidR="00815E37" w:rsidRDefault="002A6A1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color w:val="161616"/>
                <w:sz w:val="14"/>
                <w:szCs w:val="14"/>
                <w:lang w:val="en-US"/>
              </w:rPr>
              <w:drawing>
                <wp:inline distT="114300" distB="114300" distL="114300" distR="114300" wp14:anchorId="0685848B" wp14:editId="4B3A74DB">
                  <wp:extent cx="114300" cy="67129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67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06D2C3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Categorie di destinatari</w:t>
            </w:r>
          </w:p>
        </w:tc>
        <w:tc>
          <w:tcPr>
            <w:tcW w:w="8115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D0411B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 dati raccolti possono essere comunicati, per obblighi di legge o per esclusive ragioni funzionali nell’ambito dell’esecuzione del contratto alle seguenti categorie di destinatari:</w:t>
            </w:r>
          </w:p>
          <w:p w14:paraId="7B5E8079" w14:textId="77777777" w:rsidR="00815E37" w:rsidRDefault="00815E37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73738FB9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Enti pubblici (ivi compresi altri uffici comunali), soggetti terzi ovvero a società contrattualmente legate all’ente, Enti locali, Forze dell'ordine, Autorità, Responsabili esterni, Responsabili interni, diffusione sui nostri portali istituzionali (www.comune.nusco.av.it e nostro Portale E-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Gov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 nella sezione "Amministrazione Trasparente" ed "Albo Pretorio online") per fini di trasparenza e comunicazione secondo la normativa applicabile D.lgs. 33/2013 e 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ss.mm.ii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., nonché al D.lgs. n.50/2016 e </w:t>
            </w:r>
            <w:proofErr w:type="spellStart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ss.mm.ii</w:t>
            </w:r>
            <w:proofErr w:type="spellEnd"/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, INAIL, INPS, Ministeri, Operatori economici, fornitori lavori di beni e servizi, Regione Campania</w:t>
            </w:r>
          </w:p>
        </w:tc>
      </w:tr>
      <w:tr w:rsidR="00815E37" w14:paraId="5A42A287" w14:textId="77777777">
        <w:trPr>
          <w:jc w:val="center"/>
        </w:trPr>
        <w:tc>
          <w:tcPr>
            <w:tcW w:w="445" w:type="dxa"/>
            <w:vMerge w:val="restart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4742E9" w14:textId="77777777" w:rsidR="00815E37" w:rsidRDefault="002A6A1B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noProof/>
                <w:color w:val="161616"/>
                <w:sz w:val="14"/>
                <w:szCs w:val="14"/>
                <w:lang w:val="en-US"/>
              </w:rPr>
              <w:drawing>
                <wp:inline distT="114300" distB="114300" distL="114300" distR="114300" wp14:anchorId="1CA1D469" wp14:editId="075E890E">
                  <wp:extent cx="76200" cy="76200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Merge w:val="restart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DEA648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Termini di conservazione</w:t>
            </w:r>
          </w:p>
        </w:tc>
        <w:tc>
          <w:tcPr>
            <w:tcW w:w="412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9DF67E" w14:textId="77777777" w:rsidR="00815E37" w:rsidRDefault="002A6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Categoria</w:t>
            </w:r>
          </w:p>
        </w:tc>
        <w:tc>
          <w:tcPr>
            <w:tcW w:w="3988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060D8D" w14:textId="77777777" w:rsidR="00815E37" w:rsidRDefault="002A6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Termine conservazione</w:t>
            </w:r>
          </w:p>
        </w:tc>
      </w:tr>
      <w:tr w:rsidR="00815E37" w14:paraId="2EBF3FB6" w14:textId="77777777">
        <w:trPr>
          <w:jc w:val="center"/>
        </w:trPr>
        <w:tc>
          <w:tcPr>
            <w:tcW w:w="445" w:type="dxa"/>
            <w:vMerge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61F9BF" w14:textId="77777777" w:rsidR="00815E37" w:rsidRDefault="00815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</w:tc>
        <w:tc>
          <w:tcPr>
            <w:tcW w:w="2214" w:type="dxa"/>
            <w:vMerge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B6F305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</w:tc>
        <w:tc>
          <w:tcPr>
            <w:tcW w:w="412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95F077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Albo Imprese Artigiane Codice ATECO</w:t>
            </w:r>
          </w:p>
        </w:tc>
        <w:tc>
          <w:tcPr>
            <w:tcW w:w="3988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36E36B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Il periodo di conservazione è a tempo illimitato nel rispetto della vigente normativa</w:t>
            </w:r>
          </w:p>
        </w:tc>
      </w:tr>
      <w:tr w:rsidR="00815E37" w14:paraId="1407CDBF" w14:textId="77777777">
        <w:trPr>
          <w:jc w:val="center"/>
        </w:trPr>
        <w:tc>
          <w:tcPr>
            <w:tcW w:w="445" w:type="dxa"/>
            <w:vMerge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FBF9A9" w14:textId="77777777" w:rsidR="00815E37" w:rsidRDefault="00815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</w:tc>
        <w:tc>
          <w:tcPr>
            <w:tcW w:w="2214" w:type="dxa"/>
            <w:vMerge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5D2B6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</w:p>
        </w:tc>
        <w:tc>
          <w:tcPr>
            <w:tcW w:w="412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9175F2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Dati anagrafici (nome, cognome, via, </w:t>
            </w:r>
            <w:proofErr w:type="spellStart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cittaà</w:t>
            </w:r>
            <w:proofErr w:type="spellEnd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, telefono, </w:t>
            </w: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lastRenderedPageBreak/>
              <w:t xml:space="preserve">email/PEC, fax, documento di riconoscimento, codice </w:t>
            </w:r>
            <w:proofErr w:type="spellStart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finscale</w:t>
            </w:r>
            <w:proofErr w:type="spellEnd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, dati fiscali ecc.); Dati rientranti in particolari categorie si tratta dei dati c.d. "sensibili; Dati relativi a condanne penali e reati: si tratta dei dati </w:t>
            </w:r>
            <w:proofErr w:type="spellStart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c.d."giudiziari</w:t>
            </w:r>
            <w:proofErr w:type="spellEnd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"; Altri dati personali: quelli relativi alle comunicazioni </w:t>
            </w:r>
            <w:proofErr w:type="spellStart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elettaroniche</w:t>
            </w:r>
            <w:proofErr w:type="spellEnd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 (via Internet o telefono); Dati </w:t>
            </w:r>
            <w:proofErr w:type="spellStart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economici-finanziari,dati</w:t>
            </w:r>
            <w:proofErr w:type="spellEnd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 sul reddito, dati fiscali, curriculum vitae et </w:t>
            </w:r>
            <w:proofErr w:type="spellStart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studiorum</w:t>
            </w:r>
            <w:proofErr w:type="spellEnd"/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, dati carriera, certificazione antimafia, ogni altra documentazione utile ai fini della valutazione</w:t>
            </w:r>
          </w:p>
        </w:tc>
        <w:tc>
          <w:tcPr>
            <w:tcW w:w="3988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6698FB" w14:textId="77777777" w:rsidR="00815E37" w:rsidRDefault="002A6A1B">
            <w:pPr>
              <w:spacing w:line="240" w:lineRule="auto"/>
              <w:ind w:left="75"/>
              <w:rPr>
                <w:rFonts w:ascii="Helvetica Neue" w:eastAsia="Helvetica Neue" w:hAnsi="Helvetica Neue" w:cs="Helvetica Neue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lastRenderedPageBreak/>
              <w:t xml:space="preserve">Il periodo di conservazione è a tempo illimitato nel rispetto </w:t>
            </w: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lastRenderedPageBreak/>
              <w:t>della vigente normativa</w:t>
            </w:r>
          </w:p>
        </w:tc>
      </w:tr>
      <w:tr w:rsidR="00815E37" w14:paraId="26AADA17" w14:textId="77777777">
        <w:trPr>
          <w:jc w:val="center"/>
        </w:trPr>
        <w:tc>
          <w:tcPr>
            <w:tcW w:w="445" w:type="dxa"/>
            <w:shd w:val="clear" w:color="auto" w:fill="F8F6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D5E8" w14:textId="77777777" w:rsidR="00815E37" w:rsidRDefault="00815E37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161616"/>
                <w:sz w:val="2"/>
                <w:szCs w:val="2"/>
              </w:rPr>
            </w:pPr>
          </w:p>
        </w:tc>
        <w:tc>
          <w:tcPr>
            <w:tcW w:w="2214" w:type="dxa"/>
            <w:shd w:val="clear" w:color="auto" w:fill="F8F6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DDA1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2"/>
                <w:szCs w:val="2"/>
              </w:rPr>
            </w:pPr>
          </w:p>
        </w:tc>
        <w:tc>
          <w:tcPr>
            <w:tcW w:w="81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33BD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2"/>
                <w:szCs w:val="2"/>
              </w:rPr>
            </w:pPr>
          </w:p>
        </w:tc>
      </w:tr>
    </w:tbl>
    <w:p w14:paraId="037D64B9" w14:textId="77777777" w:rsidR="00815E37" w:rsidRDefault="00815E37">
      <w:pPr>
        <w:spacing w:line="240" w:lineRule="auto"/>
        <w:rPr>
          <w:rFonts w:ascii="Helvetica Neue" w:eastAsia="Helvetica Neue" w:hAnsi="Helvetica Neue" w:cs="Helvetica Neue"/>
          <w:color w:val="161616"/>
          <w:sz w:val="18"/>
          <w:szCs w:val="18"/>
        </w:rPr>
      </w:pPr>
    </w:p>
    <w:p w14:paraId="7C8DC1CE" w14:textId="77777777" w:rsidR="00815E37" w:rsidRDefault="00815E37">
      <w:pPr>
        <w:spacing w:line="240" w:lineRule="auto"/>
        <w:rPr>
          <w:rFonts w:ascii="Helvetica Neue" w:eastAsia="Helvetica Neue" w:hAnsi="Helvetica Neue" w:cs="Helvetica Neue"/>
          <w:b/>
          <w:color w:val="161616"/>
          <w:sz w:val="18"/>
          <w:szCs w:val="18"/>
        </w:rPr>
      </w:pPr>
    </w:p>
    <w:tbl>
      <w:tblPr>
        <w:tblStyle w:val="a2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37"/>
        <w:gridCol w:w="8133"/>
      </w:tblGrid>
      <w:tr w:rsidR="00815E37" w14:paraId="6C133DB5" w14:textId="77777777">
        <w:trPr>
          <w:jc w:val="center"/>
        </w:trPr>
        <w:tc>
          <w:tcPr>
            <w:tcW w:w="10770" w:type="dxa"/>
            <w:gridSpan w:val="2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50E94E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 xml:space="preserve">Diritti dell’interessato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(Artt. da 15 a 22 e dall’art. 13 del GDPR)</w:t>
            </w:r>
          </w:p>
        </w:tc>
      </w:tr>
      <w:tr w:rsidR="00815E37" w14:paraId="6D5416D0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3349EE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Diritto di accesso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A80EFE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15 del GDPR di richiedere al titolare l'accesso ai propri dati personali.</w:t>
            </w:r>
          </w:p>
        </w:tc>
      </w:tr>
      <w:tr w:rsidR="00815E37" w14:paraId="50B18542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FC232C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Diritto di rettifica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DE2154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16 del GDPR di richiedere al titolare la rettifica dei propri dati personali.</w:t>
            </w:r>
          </w:p>
        </w:tc>
      </w:tr>
      <w:tr w:rsidR="00815E37" w14:paraId="092C6710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52047A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Diritto di cancellazione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828B71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17 del GDPR di richiedere al titolare la cancellazione dei propri dati personali.</w:t>
            </w:r>
          </w:p>
        </w:tc>
      </w:tr>
      <w:tr w:rsidR="00815E37" w14:paraId="5769814B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A91C7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Diritto di limitazione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374548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18 del GDPR di richiedere al titolare la limitazione dei dati che lo riguardano.</w:t>
            </w:r>
          </w:p>
        </w:tc>
      </w:tr>
      <w:tr w:rsidR="00815E37" w14:paraId="5F21D0AC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92058C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Diritto di opposizione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EB8388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21 del GDPR di opporsi al loro trattamento.</w:t>
            </w:r>
          </w:p>
        </w:tc>
      </w:tr>
      <w:tr w:rsidR="00815E37" w14:paraId="16C1FA93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4F2F47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Diritto di portabilità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D573A3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20 del GDPR di esercitare il proprio diritto alla portabilità dei dati.</w:t>
            </w:r>
          </w:p>
        </w:tc>
      </w:tr>
      <w:tr w:rsidR="00815E37" w14:paraId="46FAFD27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B6A262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Come esercitare i diritti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80604B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protocollo@comune.nusco.av.it</w:t>
            </w:r>
          </w:p>
        </w:tc>
      </w:tr>
      <w:tr w:rsidR="00815E37" w14:paraId="04649F75" w14:textId="77777777">
        <w:trPr>
          <w:jc w:val="center"/>
        </w:trPr>
        <w:tc>
          <w:tcPr>
            <w:tcW w:w="2637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CEAE31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Note aggiuntive</w:t>
            </w:r>
          </w:p>
        </w:tc>
        <w:tc>
          <w:tcPr>
            <w:tcW w:w="8133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FD4C4B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L’interessato potrà inoltre proporre reclamo dinanzi ad un'autorità di controllo (ad esempio il Garante per la protezione dei dati personali).</w:t>
            </w:r>
          </w:p>
        </w:tc>
      </w:tr>
      <w:tr w:rsidR="00815E37" w14:paraId="5B15D5E7" w14:textId="77777777">
        <w:trPr>
          <w:jc w:val="center"/>
        </w:trPr>
        <w:tc>
          <w:tcPr>
            <w:tcW w:w="2637" w:type="dxa"/>
            <w:tcBorders>
              <w:bottom w:val="single" w:sz="8" w:space="0" w:color="333333"/>
            </w:tcBorders>
            <w:shd w:val="clear" w:color="auto" w:fill="F8F6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068D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2"/>
                <w:szCs w:val="2"/>
              </w:rPr>
            </w:pPr>
          </w:p>
        </w:tc>
        <w:tc>
          <w:tcPr>
            <w:tcW w:w="8133" w:type="dxa"/>
            <w:tcBorders>
              <w:bottom w:val="single" w:sz="8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07CB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2"/>
                <w:szCs w:val="2"/>
              </w:rPr>
            </w:pPr>
          </w:p>
        </w:tc>
      </w:tr>
    </w:tbl>
    <w:p w14:paraId="6FBBF2FB" w14:textId="77777777" w:rsidR="00815E37" w:rsidRDefault="00815E37">
      <w:pPr>
        <w:spacing w:line="240" w:lineRule="auto"/>
        <w:rPr>
          <w:rFonts w:ascii="Helvetica Neue" w:eastAsia="Helvetica Neue" w:hAnsi="Helvetica Neue" w:cs="Helvetica Neue"/>
          <w:b/>
          <w:color w:val="161616"/>
          <w:sz w:val="14"/>
          <w:szCs w:val="14"/>
        </w:rPr>
      </w:pPr>
    </w:p>
    <w:tbl>
      <w:tblPr>
        <w:tblStyle w:val="a3"/>
        <w:tblW w:w="107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28"/>
        <w:gridCol w:w="8142"/>
      </w:tblGrid>
      <w:tr w:rsidR="00815E37" w14:paraId="065BBCEE" w14:textId="77777777">
        <w:trPr>
          <w:jc w:val="center"/>
        </w:trPr>
        <w:tc>
          <w:tcPr>
            <w:tcW w:w="10769" w:type="dxa"/>
            <w:gridSpan w:val="2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656EE3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Processo automatizzato</w:t>
            </w:r>
          </w:p>
        </w:tc>
      </w:tr>
      <w:tr w:rsidR="00815E37" w14:paraId="531D91DC" w14:textId="77777777">
        <w:trPr>
          <w:jc w:val="center"/>
        </w:trPr>
        <w:tc>
          <w:tcPr>
            <w:tcW w:w="2628" w:type="dxa"/>
            <w:shd w:val="clear" w:color="auto" w:fill="F8F6F0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86BAE5C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>Esiste un processo automatizzato?</w:t>
            </w:r>
          </w:p>
        </w:tc>
        <w:tc>
          <w:tcPr>
            <w:tcW w:w="8141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0CC63B" w14:textId="77777777" w:rsidR="00815E37" w:rsidRDefault="002A6A1B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Il trattamento non è basato su processo decisionale automatizzato.</w:t>
            </w:r>
          </w:p>
        </w:tc>
      </w:tr>
      <w:tr w:rsidR="00815E37" w14:paraId="5A85F3AC" w14:textId="77777777">
        <w:trPr>
          <w:trHeight w:val="46"/>
          <w:jc w:val="center"/>
        </w:trPr>
        <w:tc>
          <w:tcPr>
            <w:tcW w:w="2628" w:type="dxa"/>
            <w:tcBorders>
              <w:bottom w:val="single" w:sz="8" w:space="0" w:color="333333"/>
            </w:tcBorders>
            <w:shd w:val="clear" w:color="auto" w:fill="F8F6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8941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b/>
                <w:color w:val="161616"/>
                <w:sz w:val="2"/>
                <w:szCs w:val="2"/>
              </w:rPr>
            </w:pPr>
          </w:p>
        </w:tc>
        <w:tc>
          <w:tcPr>
            <w:tcW w:w="8141" w:type="dxa"/>
            <w:tcBorders>
              <w:bottom w:val="single" w:sz="8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3E69" w14:textId="77777777" w:rsidR="00815E37" w:rsidRDefault="00815E37">
            <w:pPr>
              <w:spacing w:line="240" w:lineRule="auto"/>
              <w:rPr>
                <w:rFonts w:ascii="Helvetica Neue" w:eastAsia="Helvetica Neue" w:hAnsi="Helvetica Neue" w:cs="Helvetica Neue"/>
                <w:color w:val="161616"/>
                <w:sz w:val="2"/>
                <w:szCs w:val="2"/>
              </w:rPr>
            </w:pPr>
          </w:p>
        </w:tc>
      </w:tr>
    </w:tbl>
    <w:p w14:paraId="5FE1E9CB" w14:textId="77777777" w:rsidR="00815E37" w:rsidRDefault="00815E37">
      <w:pPr>
        <w:spacing w:line="240" w:lineRule="auto"/>
        <w:rPr>
          <w:rFonts w:ascii="Helvetica Neue" w:eastAsia="Helvetica Neue" w:hAnsi="Helvetica Neue" w:cs="Helvetica Neue"/>
          <w:color w:val="161616"/>
          <w:sz w:val="14"/>
          <w:szCs w:val="14"/>
        </w:rPr>
      </w:pPr>
    </w:p>
    <w:sectPr w:rsidR="00815E3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6" w:right="566" w:bottom="566" w:left="566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69BA" w14:textId="77777777" w:rsidR="00C30F26" w:rsidRDefault="00C30F26">
      <w:pPr>
        <w:spacing w:line="240" w:lineRule="auto"/>
      </w:pPr>
      <w:r>
        <w:separator/>
      </w:r>
    </w:p>
  </w:endnote>
  <w:endnote w:type="continuationSeparator" w:id="0">
    <w:p w14:paraId="63EBFCEC" w14:textId="77777777" w:rsidR="00C30F26" w:rsidRDefault="00C30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charset w:val="00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8AB6" w14:textId="77777777" w:rsidR="00815E37" w:rsidRDefault="00815E37">
    <w:pPr>
      <w:spacing w:line="240" w:lineRule="auto"/>
      <w:rPr>
        <w:rFonts w:ascii="Helvetica Neue" w:eastAsia="Helvetica Neue" w:hAnsi="Helvetica Neue" w:cs="Helvetica Neue"/>
        <w:color w:val="666666"/>
        <w:sz w:val="14"/>
        <w:szCs w:val="14"/>
      </w:rPr>
    </w:pPr>
  </w:p>
  <w:tbl>
    <w:tblPr>
      <w:tblStyle w:val="a8"/>
      <w:tblW w:w="10770" w:type="dxa"/>
      <w:jc w:val="center"/>
      <w:tblLayout w:type="fixed"/>
      <w:tblLook w:val="0600" w:firstRow="0" w:lastRow="0" w:firstColumn="0" w:lastColumn="0" w:noHBand="1" w:noVBand="1"/>
    </w:tblPr>
    <w:tblGrid>
      <w:gridCol w:w="7180"/>
      <w:gridCol w:w="3590"/>
    </w:tblGrid>
    <w:tr w:rsidR="00815E37" w14:paraId="372F6DFE" w14:textId="77777777">
      <w:trPr>
        <w:trHeight w:val="340"/>
        <w:jc w:val="center"/>
      </w:trPr>
      <w:tc>
        <w:tcPr>
          <w:tcW w:w="71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8792E41" w14:textId="77777777" w:rsidR="00815E37" w:rsidRDefault="002A6A1B">
          <w:pPr>
            <w:spacing w:line="240" w:lineRule="auto"/>
            <w:rPr>
              <w:rFonts w:ascii="Helvetica Neue" w:eastAsia="Helvetica Neue" w:hAnsi="Helvetica Neue" w:cs="Helvetica Neue"/>
              <w:b/>
              <w:color w:val="66666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t>Informativa sul trattamento dei dati personali di COMUNE DI NUSCO</w:t>
          </w:r>
        </w:p>
      </w:tc>
      <w:tc>
        <w:tcPr>
          <w:tcW w:w="3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BF027B1" w14:textId="77777777" w:rsidR="00815E37" w:rsidRDefault="002A6A1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t xml:space="preserve">Pag. </w:t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instrText>PAGE</w:instrText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fldChar w:fldCharType="separate"/>
          </w:r>
          <w:r w:rsidR="0018206F">
            <w:rPr>
              <w:rFonts w:ascii="Helvetica Neue" w:eastAsia="Helvetica Neue" w:hAnsi="Helvetica Neue" w:cs="Helvetica Neue"/>
              <w:noProof/>
              <w:color w:val="666666"/>
              <w:sz w:val="14"/>
              <w:szCs w:val="14"/>
            </w:rPr>
            <w:t>3</w:t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fldChar w:fldCharType="end"/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t xml:space="preserve"> di </w:t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instrText>NUMPAGES</w:instrText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fldChar w:fldCharType="separate"/>
          </w:r>
          <w:r w:rsidR="0018206F">
            <w:rPr>
              <w:rFonts w:ascii="Helvetica Neue" w:eastAsia="Helvetica Neue" w:hAnsi="Helvetica Neue" w:cs="Helvetica Neue"/>
              <w:noProof/>
              <w:color w:val="666666"/>
              <w:sz w:val="14"/>
              <w:szCs w:val="14"/>
            </w:rPr>
            <w:t>4</w:t>
          </w:r>
          <w:r>
            <w:rPr>
              <w:rFonts w:ascii="Helvetica Neue" w:eastAsia="Helvetica Neue" w:hAnsi="Helvetica Neue" w:cs="Helvetica Neue"/>
              <w:color w:val="666666"/>
              <w:sz w:val="14"/>
              <w:szCs w:val="14"/>
            </w:rPr>
            <w:fldChar w:fldCharType="end"/>
          </w:r>
        </w:p>
      </w:tc>
    </w:tr>
  </w:tbl>
  <w:p w14:paraId="319B880F" w14:textId="77777777" w:rsidR="00815E37" w:rsidRDefault="00815E37">
    <w:pPr>
      <w:spacing w:line="240" w:lineRule="auto"/>
      <w:rPr>
        <w:rFonts w:ascii="Helvetica Neue" w:eastAsia="Helvetica Neue" w:hAnsi="Helvetica Neue" w:cs="Helvetica Neue"/>
        <w:color w:val="666666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8ABB" w14:textId="77777777" w:rsidR="00815E37" w:rsidRDefault="00815E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9ADC" w14:textId="77777777" w:rsidR="00C30F26" w:rsidRDefault="00C30F26">
      <w:pPr>
        <w:spacing w:line="240" w:lineRule="auto"/>
      </w:pPr>
      <w:r>
        <w:separator/>
      </w:r>
    </w:p>
  </w:footnote>
  <w:footnote w:type="continuationSeparator" w:id="0">
    <w:p w14:paraId="7603DF71" w14:textId="77777777" w:rsidR="00C30F26" w:rsidRDefault="00C30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2719" w14:textId="77777777" w:rsidR="00815E37" w:rsidRDefault="002A6A1B">
    <w:pPr>
      <w:rPr>
        <w:rFonts w:ascii="Roboto" w:eastAsia="Roboto" w:hAnsi="Roboto" w:cs="Roboto"/>
        <w:color w:val="333333"/>
        <w:sz w:val="14"/>
        <w:szCs w:val="14"/>
      </w:rPr>
    </w:pPr>
    <w:r>
      <w:rPr>
        <w:rFonts w:ascii="Roboto" w:eastAsia="Roboto" w:hAnsi="Roboto" w:cs="Roboto"/>
        <w:noProof/>
        <w:color w:val="333333"/>
        <w:sz w:val="14"/>
        <w:szCs w:val="14"/>
      </w:rPr>
      <w:drawing>
        <wp:inline distT="0" distB="0" distL="0" distR="0" wp14:anchorId="76B276B5" wp14:editId="3780F052">
          <wp:extent cx="396798" cy="6191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79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F9445" w14:textId="77777777" w:rsidR="00815E37" w:rsidRDefault="00815E37">
    <w:pPr>
      <w:rPr>
        <w:rFonts w:ascii="Arial" w:eastAsia="Arial" w:hAnsi="Arial" w:cs="Arial"/>
        <w:color w:val="333333"/>
        <w:sz w:val="20"/>
        <w:szCs w:val="20"/>
        <w:shd w:val="clear" w:color="auto" w:fill="F7F7F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46D" w14:textId="77777777" w:rsidR="00815E37" w:rsidRDefault="00815E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37"/>
    <w:rsid w:val="0018206F"/>
    <w:rsid w:val="002A6A1B"/>
    <w:rsid w:val="005B2A06"/>
    <w:rsid w:val="00815E37"/>
    <w:rsid w:val="00C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6B03"/>
  <w15:docId w15:val="{E99BEB30-D034-40E7-B90F-252A64D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erif" w:eastAsia="PT Serif" w:hAnsi="PT Serif" w:cs="PT Serif"/>
        <w:sz w:val="22"/>
        <w:szCs w:val="22"/>
        <w:lang w:val="it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Recupero</dc:creator>
  <cp:lastModifiedBy>Comune Nusco</cp:lastModifiedBy>
  <cp:revision>2</cp:revision>
  <dcterms:created xsi:type="dcterms:W3CDTF">2022-09-19T10:52:00Z</dcterms:created>
  <dcterms:modified xsi:type="dcterms:W3CDTF">2022-09-19T10:52:00Z</dcterms:modified>
</cp:coreProperties>
</file>